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4489" w14:textId="716E15F4" w:rsidR="0066079C" w:rsidRDefault="0066079C" w:rsidP="0066079C">
      <w:pPr>
        <w:spacing w:after="0" w:line="256" w:lineRule="auto"/>
        <w:jc w:val="center"/>
        <w:rPr>
          <w:rFonts w:ascii="Aptos Display" w:eastAsia="Aptos" w:hAnsi="Aptos Display" w:cs="Aptos Display"/>
          <w:kern w:val="0"/>
          <w:sz w:val="22"/>
          <w:szCs w:val="22"/>
          <w14:ligatures w14:val="none"/>
        </w:rPr>
      </w:pPr>
      <w:bookmarkStart w:id="0" w:name="_Hlk131579747"/>
      <w:bookmarkEnd w:id="0"/>
      <w:r w:rsidRPr="0066079C">
        <w:rPr>
          <w:rFonts w:ascii="Arial" w:eastAsia="Times New Roman" w:hAnsi="Arial" w:cs="Times New Roman"/>
          <w:noProof/>
          <w:kern w:val="0"/>
          <w:sz w:val="20"/>
          <w:szCs w:val="20"/>
          <w:lang w:eastAsia="sl-SI"/>
          <w14:ligatures w14:val="none"/>
        </w:rPr>
        <w:drawing>
          <wp:inline distT="0" distB="0" distL="0" distR="0" wp14:anchorId="274D23AF" wp14:editId="555EB5BB">
            <wp:extent cx="489600" cy="936000"/>
            <wp:effectExtent l="0" t="0" r="5715" b="0"/>
            <wp:docPr id="1" name="Slika 5" descr="Slika, ki vsebuje besede besedilo, sličic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5" descr="Slika, ki vsebuje besede besedilo, sličica&#10;&#10;Opis je samodejno ustvarjen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1ACF4" w14:textId="77777777" w:rsidR="0066079C" w:rsidRDefault="0066079C" w:rsidP="001E4F1B">
      <w:pPr>
        <w:spacing w:after="0" w:line="256" w:lineRule="auto"/>
        <w:jc w:val="both"/>
        <w:rPr>
          <w:rFonts w:ascii="Aptos Display" w:eastAsia="Aptos" w:hAnsi="Aptos Display" w:cs="Aptos Display"/>
          <w:kern w:val="0"/>
          <w:sz w:val="22"/>
          <w:szCs w:val="22"/>
          <w14:ligatures w14:val="none"/>
        </w:rPr>
      </w:pPr>
    </w:p>
    <w:p w14:paraId="55E8EAEA" w14:textId="2B884B5F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Datum: </w:t>
      </w:r>
      <w:r w:rsidR="00AA5987">
        <w:rPr>
          <w:rFonts w:ascii="Arial" w:eastAsia="Aptos" w:hAnsi="Arial" w:cs="Arial"/>
          <w:kern w:val="0"/>
          <w:sz w:val="22"/>
          <w:szCs w:val="22"/>
          <w14:ligatures w14:val="none"/>
        </w:rPr>
        <w:t>21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.0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1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.202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6</w:t>
      </w:r>
    </w:p>
    <w:p w14:paraId="6388F4DD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826A4AB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D87FA8E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V skladu z 52. in 3. alinejo 54. člena Zakona o stvarnem premoženju države in samoupravnih lokalnih skupnosti (Ur. list RS, št. 11/18, 79/18, 61/20-ZDLGPE in 175/20) ter 19. členom Uredbe o stvarnem premoženju države in samoupravnih lokalnih skupnosti (Ur. list RS, št. 31/18) Občina Pivka, Kolodvorska cesta 5, Pivka objavlja</w:t>
      </w:r>
    </w:p>
    <w:p w14:paraId="04A3E98A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b/>
          <w:bCs/>
          <w:kern w:val="0"/>
          <w:sz w:val="22"/>
          <w:szCs w:val="22"/>
          <w14:ligatures w14:val="none"/>
        </w:rPr>
      </w:pPr>
    </w:p>
    <w:p w14:paraId="1F42FF58" w14:textId="77777777" w:rsidR="001E4F1B" w:rsidRPr="00EC5D1C" w:rsidRDefault="001E4F1B" w:rsidP="001E4F1B">
      <w:pPr>
        <w:spacing w:after="0" w:line="256" w:lineRule="auto"/>
        <w:ind w:left="720"/>
        <w:jc w:val="center"/>
        <w:rPr>
          <w:rFonts w:ascii="Arial" w:eastAsia="Aptos" w:hAnsi="Arial" w:cs="Arial"/>
          <w:b/>
          <w:bCs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b/>
          <w:bCs/>
          <w:kern w:val="0"/>
          <w:sz w:val="22"/>
          <w:szCs w:val="22"/>
          <w14:ligatures w14:val="none"/>
        </w:rPr>
        <w:t>N A M E R O</w:t>
      </w:r>
    </w:p>
    <w:p w14:paraId="684A8CE3" w14:textId="77777777" w:rsidR="001E4F1B" w:rsidRPr="00EC5D1C" w:rsidRDefault="001E4F1B" w:rsidP="001E4F1B">
      <w:pPr>
        <w:spacing w:after="0" w:line="256" w:lineRule="auto"/>
        <w:ind w:left="720"/>
        <w:jc w:val="center"/>
        <w:rPr>
          <w:rFonts w:ascii="Arial" w:eastAsia="Aptos" w:hAnsi="Arial" w:cs="Arial"/>
          <w:b/>
          <w:bCs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b/>
          <w:bCs/>
          <w:kern w:val="0"/>
          <w:sz w:val="22"/>
          <w:szCs w:val="22"/>
          <w14:ligatures w14:val="none"/>
        </w:rPr>
        <w:t>O SKLENITVI NEPOSREDNE POGODBE</w:t>
      </w:r>
    </w:p>
    <w:p w14:paraId="0F0BC9F8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524FD8FA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1. Naziv in sedež upravljavca, ki sklepa pravni posel razpolaganja s stvarnim premoženjem </w:t>
      </w:r>
    </w:p>
    <w:p w14:paraId="5C43DD43" w14:textId="77777777" w:rsidR="001E4F1B" w:rsidRPr="00EC5D1C" w:rsidRDefault="001E4F1B" w:rsidP="001E4F1B">
      <w:pPr>
        <w:spacing w:after="0" w:line="256" w:lineRule="auto"/>
        <w:ind w:firstLine="708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OBČINA PIVKA, Kolodvorska cesta 5, 6257 Pivka </w:t>
      </w:r>
    </w:p>
    <w:p w14:paraId="328C4981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4AEC9E7F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2. Opis predmeta neposredne pogodbe </w:t>
      </w:r>
    </w:p>
    <w:p w14:paraId="728956A9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Predmet neposredne pogodbe je prodaja nepremičnine:</w:t>
      </w:r>
    </w:p>
    <w:p w14:paraId="19CE7A26" w14:textId="7715F868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-  s parc. št. 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1000/6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k.</w:t>
      </w:r>
      <w:r w:rsidR="00EC5D1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o. 2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501 Petelinje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(ID znak parcela 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2501 1000/6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) v izmeri </w:t>
      </w:r>
      <w:r w:rsidR="009D0073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315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m2.</w:t>
      </w:r>
    </w:p>
    <w:p w14:paraId="2130B4E3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944A44F" w14:textId="026A4E00" w:rsidR="00D57F8F" w:rsidRPr="0027633E" w:rsidRDefault="001E4F1B" w:rsidP="00D57F8F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>Nepremičnina je v lasti Občine Pivka do celote (do 1/1) in se nahaja</w:t>
      </w:r>
      <w:r w:rsidR="0066079C"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v P</w:t>
      </w:r>
      <w:r w:rsidR="00D57F8F"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>ivki</w:t>
      </w:r>
      <w:r w:rsidR="0066079C"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, v bližini balinišča. Parcela je v naravi zelena travnata površina v obliki trikotnika. </w:t>
      </w:r>
    </w:p>
    <w:p w14:paraId="6272B846" w14:textId="5434ACC7" w:rsidR="00D57F8F" w:rsidRPr="0027633E" w:rsidRDefault="00D57F8F" w:rsidP="00D57F8F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Po delu nepremičnine v naravi poteka tudi dostop do stanovanjske stavbe </w:t>
      </w:r>
      <w:r w:rsidR="003F1EF4"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– Postojnska c. 12 </w:t>
      </w:r>
      <w:r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>in je že vrsto let v uporabi lastnika stavbe. Prodajna pogodba se sklepa z namenom dokončne ureditve lastništva. Nepremičnina ima urejene parcelne meje.</w:t>
      </w:r>
    </w:p>
    <w:p w14:paraId="0EB422D6" w14:textId="70191650" w:rsidR="00D57F8F" w:rsidRPr="0027633E" w:rsidRDefault="0066079C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>Naklon je rahel v smeri JZ-SV.</w:t>
      </w:r>
    </w:p>
    <w:p w14:paraId="7BA2A5C7" w14:textId="77777777" w:rsidR="00D57F8F" w:rsidRDefault="00D57F8F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5E8D7516" w14:textId="79603A1F" w:rsidR="009D0073" w:rsidRPr="00EC5D1C" w:rsidRDefault="0066079C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Po namenski rabi pa nepremičnina spada pod </w:t>
      </w:r>
      <w:r w:rsidR="00EC5D1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osrednja območja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centraln</w:t>
      </w:r>
      <w:r w:rsidR="00EB7AB6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ih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dejavnosti</w:t>
      </w:r>
      <w:r w:rsidR="00EB7AB6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-CU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.</w:t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</w:t>
      </w:r>
    </w:p>
    <w:p w14:paraId="0FE71E4B" w14:textId="77777777" w:rsidR="00EC5D1C" w:rsidRPr="00EC5D1C" w:rsidRDefault="00EC5D1C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3A4F5FE8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21F0985" w14:textId="5A39B0E9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Izhodiščna cena</w:t>
      </w:r>
      <w:r w:rsidR="00B815A3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je bila določena s cenitvijo </w:t>
      </w:r>
      <w:r w:rsidR="00FC60E4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sodno zaprisežene cenilke </w:t>
      </w:r>
      <w:r w:rsidR="00B815A3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in</w:t>
      </w:r>
      <w:r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znaša </w:t>
      </w:r>
      <w:r w:rsidR="0027633E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14.175,00 </w:t>
      </w:r>
      <w:r w:rsidR="0027633E"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EUR</w:t>
      </w:r>
      <w:r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. Na to ceno je kupec dolžan plačati še 2</w:t>
      </w:r>
      <w:r w:rsidR="00D34CC8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2</w:t>
      </w:r>
      <w:r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% davek na </w:t>
      </w:r>
      <w:r w:rsidR="00D34CC8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dodano vrednost</w:t>
      </w:r>
      <w:r w:rsidRPr="00EC5D1C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.</w:t>
      </w:r>
      <w:r w:rsidR="00B815A3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</w:t>
      </w:r>
    </w:p>
    <w:p w14:paraId="4BBCFCAC" w14:textId="5DF8222F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</w:t>
      </w:r>
      <w:r w:rsidR="00B815A3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</w:t>
      </w:r>
    </w:p>
    <w:p w14:paraId="2C3625A8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3. Vrsta pravnega posla in sklenitev pogodbe </w:t>
      </w:r>
    </w:p>
    <w:p w14:paraId="344F6956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Prodaja nepremičnine se izvede po metodi neposredne pogodbe. V kolikor bo v roku prispelo več enakih ponudb, bo organizirano dodatno pogajanje na način javne dražbe. Cene in drugi elementi ponudbe, ponujeni na pogajanjih, so zavezujoči. </w:t>
      </w:r>
    </w:p>
    <w:p w14:paraId="6588D0C5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Pogodba mora biti sklenjena v roku 15 dni po pozivu organizatorja postopka prodaje. V kolikor pogodba ni sklenjena v danem roku lahko organizator odstopi od sklenitve posla.</w:t>
      </w:r>
    </w:p>
    <w:p w14:paraId="4CBE0F2D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Nepremičnina se prodaja po načelu videno – kupljeno, zato morebitne reklamacije po sklenitvi prodajne pogodbe ne bodo upoštevane. Kupec kupuje nepremičnine v stanju, kakršno je in ne more uveljavljati večjih pravic, kot jih je imel lastnik.</w:t>
      </w:r>
    </w:p>
    <w:p w14:paraId="3259039F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BECAF2C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Vse stroške v zvezi s prenosom lastništva (overitev pri notarju ter vpis v zemljiško knjigo) plača kupec.</w:t>
      </w:r>
    </w:p>
    <w:p w14:paraId="6208FE9A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0E1C4F10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4. Rok za prejem ponudbe ali izjave o interesu</w:t>
      </w:r>
    </w:p>
    <w:p w14:paraId="6F11C89D" w14:textId="27B48935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Zainteresirani ponudnik mora oddati ponudbo, v kateri navede podatke (ime in priimek, naslov, matično številko) ter višino kupnine, ki jo ponuja (kupnina ne sme biti nižja od izhodiščne cene). Rok za oddajo ponudbe je najkasneje do </w:t>
      </w:r>
      <w:r w:rsidR="00CA3DD9" w:rsidRPr="00CA3DD9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>11.2.2026</w:t>
      </w:r>
      <w:r w:rsidRPr="00CA3DD9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 do</w:t>
      </w:r>
      <w:r w:rsidRPr="0027633E">
        <w:rPr>
          <w:rFonts w:ascii="Arial" w:eastAsia="Aptos" w:hAnsi="Arial" w:cs="Arial"/>
          <w:kern w:val="0"/>
          <w:sz w:val="22"/>
          <w:szCs w:val="22"/>
          <w:u w:val="single"/>
          <w14:ligatures w14:val="none"/>
        </w:rPr>
        <w:t xml:space="preserve"> 12. ure</w:t>
      </w:r>
      <w:r w:rsidRPr="0027633E">
        <w:rPr>
          <w:rFonts w:ascii="Arial" w:eastAsia="Aptos" w:hAnsi="Arial" w:cs="Arial"/>
          <w:kern w:val="0"/>
          <w:sz w:val="22"/>
          <w:szCs w:val="22"/>
          <w14:ligatures w14:val="none"/>
        </w:rPr>
        <w:t>,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osebno ali po navadni pošti na naslov: Občina Pivka, Kolodvorska cesta 5, 6257 Pivka. Ponudba, ki bo prispela po preteku zgoraj navedenega roka, ne bo upoštevana. V primeru več enakih ponudb bodo opravljena pogajanja. Ponudba mora biti oddana v zaprti kuverti, na kateri je napisano: »NE ODPIRAJ- PONUDBA parcela </w:t>
      </w:r>
      <w:r w:rsidR="0066079C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1000/6 k.o. 2501 Petelinje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«.</w:t>
      </w:r>
    </w:p>
    <w:p w14:paraId="184A2AE5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705C5068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5. Način in rok plačila kupnine</w:t>
      </w:r>
    </w:p>
    <w:p w14:paraId="20858EFC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Kupnina se plača v 30-ih dneh po izdaji računa, ki se izda ob sklenitvi pogodbe. </w:t>
      </w:r>
    </w:p>
    <w:p w14:paraId="3ECB0DEC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Plačilo celotne kupnine v določenem roku je bistvena sestavina pravnega posla. V kolikor kupnina ni plačana v roku, se šteje posel za razvezan po samem zakonu.</w:t>
      </w:r>
    </w:p>
    <w:p w14:paraId="0EE1EF4E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0CA62B47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6. Kontaktne osebe: </w:t>
      </w:r>
    </w:p>
    <w:p w14:paraId="595507E4" w14:textId="77777777" w:rsidR="0027633E" w:rsidRDefault="001E4F1B" w:rsidP="0027633E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Vse dodatne informacije v zvezi z objavljeno namero interesenti dobijo na telefonu:</w:t>
      </w:r>
    </w:p>
    <w:p w14:paraId="19A17307" w14:textId="0F3501B2" w:rsidR="001E4F1B" w:rsidRDefault="0027633E" w:rsidP="0027633E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           05 72 10 129 oz. 040 630 405 (Maja Pikec Volčič)</w:t>
      </w:r>
    </w:p>
    <w:p w14:paraId="152D22BC" w14:textId="77777777" w:rsidR="0027633E" w:rsidRPr="00EC5D1C" w:rsidRDefault="0027633E" w:rsidP="0027633E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61C68E6F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7. Opozorilo glede možnosti ustavitve postopka</w:t>
      </w:r>
    </w:p>
    <w:p w14:paraId="19532FB0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Ta objava ne zavezuje upravljavca k sklenitvi pravnega posla, prav tako je izključena obveznost prodajalca, da sklene pogodbo z ponudnikom, ki ponudi najugodnejšo ponudbo. Upravljavec lahko vse do sklenitve pravnega posla ustavi že začeti postopek brez obrazložitve in brez odškodninske odgovornosti. </w:t>
      </w:r>
    </w:p>
    <w:p w14:paraId="275933FA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242BCAC6" w14:textId="77777777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Občina Pivka in prijavitelj sta dolžna zagotoviti varovanje osebnih podatkov in poslovnih skrivnosti v skladu z Zakonom o varstvu osebnih podatkov (Uradni list RS, št. 94/07 – uradno prečiščeno besedilo) in Uredbo (EU) 2016/679 Evropskega parlamenta in Sveta z dne 27. aprila 2016 o varstvu posameznikov pri obdelavi osebnih podatkov in o prostem pretoku takih podatkov.</w:t>
      </w:r>
    </w:p>
    <w:p w14:paraId="3F0ED650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3740805F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40899706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7973AB33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657BC48D" w14:textId="6AB5C0BC" w:rsidR="001E4F1B" w:rsidRPr="00EC5D1C" w:rsidRDefault="001E4F1B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Pripravila: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         </w:t>
      </w:r>
      <w:r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>ŽUPAN:</w:t>
      </w:r>
    </w:p>
    <w:p w14:paraId="58304D55" w14:textId="361CF63C" w:rsidR="001E4F1B" w:rsidRPr="00EC5D1C" w:rsidRDefault="0027633E" w:rsidP="001E4F1B">
      <w:pPr>
        <w:spacing w:after="0" w:line="256" w:lineRule="auto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  <w:r>
        <w:rPr>
          <w:rFonts w:ascii="Arial" w:eastAsia="Aptos" w:hAnsi="Arial" w:cs="Arial"/>
          <w:kern w:val="0"/>
          <w:sz w:val="22"/>
          <w:szCs w:val="22"/>
          <w14:ligatures w14:val="none"/>
        </w:rPr>
        <w:t>Maja Pikec Volčič</w:t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ab/>
        <w:t xml:space="preserve">                        </w:t>
      </w:r>
      <w:r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         </w:t>
      </w:r>
      <w:r w:rsidR="001E4F1B" w:rsidRPr="00EC5D1C">
        <w:rPr>
          <w:rFonts w:ascii="Arial" w:eastAsia="Aptos" w:hAnsi="Arial" w:cs="Arial"/>
          <w:kern w:val="0"/>
          <w:sz w:val="22"/>
          <w:szCs w:val="22"/>
          <w14:ligatures w14:val="none"/>
        </w:rPr>
        <w:t xml:space="preserve">     Robert Smrdelj</w:t>
      </w:r>
    </w:p>
    <w:p w14:paraId="5013963C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1A776C44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728138D4" w14:textId="77777777" w:rsidR="001E4F1B" w:rsidRPr="00EC5D1C" w:rsidRDefault="001E4F1B" w:rsidP="001E4F1B">
      <w:pPr>
        <w:spacing w:after="0" w:line="256" w:lineRule="auto"/>
        <w:ind w:left="720"/>
        <w:jc w:val="both"/>
        <w:rPr>
          <w:rFonts w:ascii="Arial" w:eastAsia="Aptos" w:hAnsi="Arial" w:cs="Arial"/>
          <w:kern w:val="0"/>
          <w:sz w:val="22"/>
          <w:szCs w:val="22"/>
          <w14:ligatures w14:val="none"/>
        </w:rPr>
      </w:pPr>
    </w:p>
    <w:p w14:paraId="7C6FFF23" w14:textId="77777777" w:rsidR="001E4F1B" w:rsidRPr="00EC5D1C" w:rsidRDefault="001E4F1B">
      <w:pPr>
        <w:rPr>
          <w:rFonts w:ascii="Arial" w:hAnsi="Arial" w:cs="Arial"/>
          <w:sz w:val="22"/>
          <w:szCs w:val="22"/>
        </w:rPr>
      </w:pPr>
    </w:p>
    <w:sectPr w:rsidR="001E4F1B" w:rsidRPr="00EC5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1B"/>
    <w:rsid w:val="001126A6"/>
    <w:rsid w:val="001E4F1B"/>
    <w:rsid w:val="0027633E"/>
    <w:rsid w:val="003C27DA"/>
    <w:rsid w:val="003F1EF4"/>
    <w:rsid w:val="004833FE"/>
    <w:rsid w:val="004A50E4"/>
    <w:rsid w:val="00532E3D"/>
    <w:rsid w:val="0066079C"/>
    <w:rsid w:val="008D5D92"/>
    <w:rsid w:val="00977052"/>
    <w:rsid w:val="009D0073"/>
    <w:rsid w:val="00AA5987"/>
    <w:rsid w:val="00B815A3"/>
    <w:rsid w:val="00C0796C"/>
    <w:rsid w:val="00CA3DD9"/>
    <w:rsid w:val="00D34CC8"/>
    <w:rsid w:val="00D57F8F"/>
    <w:rsid w:val="00EB7AB6"/>
    <w:rsid w:val="00EC5D1C"/>
    <w:rsid w:val="00F331DA"/>
    <w:rsid w:val="00FC60E4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F829"/>
  <w15:chartTrackingRefBased/>
  <w15:docId w15:val="{2130E31F-4882-4792-A4DF-9672D38F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E4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4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4F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4F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4F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4F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4F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4F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4F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4F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4F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4F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4F1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4F1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4F1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4F1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4F1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4F1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4F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4F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4F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4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4F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4F1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E4F1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4F1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4F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4F1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4F1B"/>
    <w:rPr>
      <w:b/>
      <w:bCs/>
      <w:smallCaps/>
      <w:color w:val="0F4761" w:themeColor="accent1" w:themeShade="BF"/>
      <w:spacing w:val="5"/>
    </w:rPr>
  </w:style>
  <w:style w:type="paragraph" w:styleId="Revizija">
    <w:name w:val="Revision"/>
    <w:hidden/>
    <w:uiPriority w:val="99"/>
    <w:semiHidden/>
    <w:rsid w:val="00D34CC8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D34CC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D34CC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D34CC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34CC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34C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Pikec</dc:creator>
  <cp:keywords/>
  <dc:description/>
  <cp:lastModifiedBy>Maja Pikec</cp:lastModifiedBy>
  <cp:revision>3</cp:revision>
  <dcterms:created xsi:type="dcterms:W3CDTF">2026-01-21T10:04:00Z</dcterms:created>
  <dcterms:modified xsi:type="dcterms:W3CDTF">2026-01-21T10:04:00Z</dcterms:modified>
</cp:coreProperties>
</file>